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74" w:rsidRPr="00385574" w:rsidRDefault="00385574" w:rsidP="00385574">
      <w:pPr>
        <w:tabs>
          <w:tab w:val="left" w:pos="-102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AD440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bookmarkStart w:id="0" w:name="_GoBack"/>
      <w:bookmarkEnd w:id="0"/>
    </w:p>
    <w:p w:rsidR="00385574" w:rsidRPr="00385574" w:rsidRDefault="00385574" w:rsidP="00385574">
      <w:pPr>
        <w:tabs>
          <w:tab w:val="left" w:pos="-102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385574" w:rsidRPr="00385574" w:rsidRDefault="00385574" w:rsidP="00385574">
      <w:pPr>
        <w:tabs>
          <w:tab w:val="left" w:pos="-102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Калининского сельского поселения</w:t>
      </w:r>
    </w:p>
    <w:p w:rsidR="00385574" w:rsidRPr="00385574" w:rsidRDefault="00385574" w:rsidP="00385574">
      <w:pPr>
        <w:tabs>
          <w:tab w:val="left" w:pos="-102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752A3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3752A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="003752A3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38557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385574" w:rsidRDefault="00385574" w:rsidP="00241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Калининского сельского поселения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от 14.10.2013 г. № 141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сельского поселения 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Калининского сельского поселения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310"/>
        <w:gridCol w:w="5994"/>
      </w:tblGrid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     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Калининского сельского поселения </w:t>
            </w:r>
            <w:r w:rsidRPr="00241E29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"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системы" (далее - муниципальная программа)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 w:rsidTr="003752A3">
        <w:trPr>
          <w:trHeight w:val="275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улично-дорожной сети поселения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безопасности дорожного движения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инструменты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41E29" w:rsidRPr="00241E29" w:rsidTr="003752A3">
        <w:trPr>
          <w:trHeight w:val="416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современной и эффективной автомобильно-дорожной инфраструктуры  и</w:t>
            </w:r>
            <w:r w:rsidRPr="0024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функционирования транспортной системы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Калининского сельского поселения.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безопасности движения.</w:t>
            </w:r>
          </w:p>
        </w:tc>
      </w:tr>
      <w:tr w:rsidR="00241E29" w:rsidRPr="00241E29" w:rsidTr="003752A3">
        <w:trPr>
          <w:trHeight w:val="416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Поддержание автомобильных дорог общего пользования (межпоселковых и 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Сохранение протяженности соответствующих нормативным требованиям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 общего пользования.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транспортного обслуживания населения.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Сокращение количества лиц, погибших в результате дорожно-транспортных происшествий, снижение тяжести травм в дорожно-транспортных происшествиях.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и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протяженности автомобильных дорог общего пользования местного значения, не отвечающих нормативным    требованиям, в общей протяженности автомобильных дорог общего пользования местного значения, процент.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происшествий.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1E29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.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Тяжесть последствий в результате дорожно-транспортных происшествий.</w:t>
            </w:r>
            <w:r w:rsidRPr="0024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постоянной основе, этапы не выделяются: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41E2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41E2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на 2014 – 2020 годы составляет -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5828,5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2137,5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2233,3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1457,7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за счет средств областного бюджета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1074,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537,5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268,7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 – 268,7 тыс. рублей;</w:t>
            </w:r>
          </w:p>
          <w:p w:rsidR="003752A3" w:rsidRPr="00631DFC" w:rsidRDefault="00631DFC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752A3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Мясниковского района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1340,1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 1299,5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2016 год –      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Калининского сельского поселения  Мясниковского района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1600,0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  665,1 тыс. рублей;</w:t>
            </w:r>
          </w:p>
          <w:p w:rsidR="00631DFC" w:rsidRPr="00631DFC" w:rsidRDefault="003752A3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 –  1148,4</w:t>
            </w:r>
            <w:r w:rsidR="00631DFC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631DFC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752A3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241E29" w:rsidRPr="00241E29" w:rsidRDefault="00241E29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41E29" w:rsidRPr="00241E29" w:rsidTr="003752A3">
        <w:trPr>
          <w:trHeight w:val="239"/>
        </w:trPr>
        <w:tc>
          <w:tcPr>
            <w:tcW w:w="3956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муниципальной программы</w:t>
            </w:r>
          </w:p>
        </w:tc>
        <w:tc>
          <w:tcPr>
            <w:tcW w:w="310" w:type="dxa"/>
            <w:vAlign w:val="center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4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Развитая транспортная система, обеспечивающая стабильное развитие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сельского поселения.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Современная система обеспечения безопасности дорожного движения на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 дорогах общего пользования и улично-дорожной сети населенных пунктов в Калининском сельском поселении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752A3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Общая характеристика </w:t>
      </w: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 состояния</w:t>
      </w: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транспортной системы Калининского сельского поселения.</w:t>
      </w:r>
    </w:p>
    <w:p w:rsidR="00241E29" w:rsidRPr="003752A3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Калининского сельского поселения в непосредственной близости к г. Ростову-на-Дону создает выгодные условия для развития дорожной и транспортной инфраструктуры.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официальным реестром в сельском поселении насчитывается 22 улицы. Общая протяженность улично-дорожной сети муниципального образования «Калининское сельское поселение», находящаяся в муниципальной собственности, составляет 23,56 км. Улицы с усовершенствованным типом покрытия имеют протяженность 7,33 км.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инфраструктурных составляющих улично-дорожной сети Калининского сельского поселения являются искусственные сооружения. Мосты и путепроводы обеспечивают транспортное сообщение между отдельными частями сельского поселения, разделенными такими препятствиями естественного и искусственного характера, как реки и железные дороги. В эксплуатации находится 1 мост, 1,00 км тротуаров.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Калинин имеет 1 основной въезд/выезд: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ул. 1-я Советская, автодорога.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транспортный комплекс поселения представлен автомобильным и железнодорожным транспортом. При этом основным видом транспорта является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транспорт: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современном этапе развития экономики автомобильный транспорт играет важнейшую роль в обеспечении экономического роста и социального развития муниципальных образований. </w:t>
      </w:r>
    </w:p>
    <w:p w:rsidR="00241E29" w:rsidRPr="00241E29" w:rsidRDefault="00241E29" w:rsidP="0024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предприятиями транспортной отрасли Мясниковского района являются ОАО «ТЭК» и ОАО «Крымское Автотранспортное предприятие».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автотранспортных средств ежегодно увеличивается. Так, число легковых автомобилей, зарегистрированных в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Мясниковском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увеличилось с 10897 единиц в 2006 году до 14061 в 2010 году (темп роста – 129,03 процента).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проблемами для развития автомобильного транспорта Калининского сельского поселения являются: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износ парка автобусов, осуществляющих пассажирские перевозки;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недостаточная защищенность интересов малого и среднего предпринимательства в автотранспортном комплексе;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ограниченные возможности использования финансово-кредитных механизмов для пополнения оборотного капитала и обновления подвижного состава из-за его высокой стоимости и, как правило, отсутствие достаточного для банков залогового обеспечения.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30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30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железнодорожной сети составляет железнодорожная магистраль Ростов-на-Дону –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Марцево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Донецк (</w:t>
      </w:r>
      <w:smartTag w:uri="urn:schemas-microsoft-com:office:smarttags" w:element="metricconverter">
        <w:smartTagPr>
          <w:attr w:name="ProductID" w:val="25 км"/>
        </w:smartTagPr>
        <w:r w:rsidRPr="00241E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обеспечивающая выход на Украину и связь двух самых крупных городов Ростовской области: Ростов-на-Дону и Таганрог.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железнодорожная станция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Хапры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Железнодорожный транспорт обслуживает, преимущественно,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внеобластные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связи.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железнодорожного транспорта в Калининском сельском поселении связаны с модернизацией и развитием устройств железнодорожного транспорта.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30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Автодорожный комплекс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имеют важное стратегическое значение для транспортного комплекса Калининского сельского поселения.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Калининское сельское поселение с районным центром – с. Чалтырь соединяет автомобильная дороги общего пользования межмуниципального значения, находящаяся в собственности Ростовской области и оперативном управлении министерства транспорта Ростовской области.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 автомобильных дорог поселения представлена местными автодорогами общего пользования.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местного значения, не отвечающих нормативным требованиям, составляет 68,8 процента.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перспективными размерами движения ряд дорог нуждаются в реконструкции с доведением параметров до нормативов более высокой категории.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Verdana" w:eastAsia="Times New Roman" w:hAnsi="Verdana" w:cs="Arial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темпы развития автомобильных дорог поселения отстают от возрастающей потребности в автомобильных перевозках и темпов роста автомобилизации, что приводит к снижению скорости движения, повышению уровня аварийности.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 капитального ремонта.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и реконструкцию, капитальный ремонт автомобильных дорог общего пользования местного значения, доведение их уровня загрузки до нормативных требований уже сегодня необходимо свыше 140,0 млн. рублей.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в условиях острой нехватки средств на строительство, реконструкцию, капитальный ремонт,  ремонт и содержание дорог общего пользования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752A3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241E29" w:rsidRPr="003752A3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основной цели муниципальной программы необходимо решить следующие задачи: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протяженности, соответствующей нормативным требованиям, автомобильных дорог общего пользования местного значения за счет реконструкции и капитального ремонта, автомобильных дорог и искусственных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сооружений на них с увеличением пропускной способности автомобильных дорог, улучшением условий движения автотранспорта;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строительства и реконструкции объектов незавершенного строительства высокой степени готовности;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улучшению транспортно-эксплуатационного состояния дорожной сети; 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восстановления ежегодного износа автомобильных дорог, повышение технического уровня дорог на основе модернизации и применения инновационных технологий;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транспортной инфраструктуры, улучшение использования существующих мощностей для реализации транзитного потенциала района;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транспортного обслуживания населения и снижение себестоимости транспортных услуг;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экономических и организационных условий для активизации инвестиционной и инновационной деятельности предприятий транспортного комплекса.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показателях (индикаторах)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сельского поселения «Развитие транспортной системы», подпрограмм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значениях приведены в приложении № 1 к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показателях, включенных в федеральный (региональный) план статистических работ приведены в приложении № 2 к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методике расчета показателя (индикатора)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приведены в приложении № 3 </w:t>
      </w:r>
      <w:proofErr w:type="gramStart"/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Калининского сельского поселения, то в пределах срока действия подпрограммы этап реализации соответствует одному году.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752A3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Обоснование выделения подпрограмм муниципальной</w:t>
      </w: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программы обобщенная характеристика основных мероприятий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муниципальной программы и решение ее задач осуществляется в рамках двух подпрограмм:</w:t>
      </w:r>
    </w:p>
    <w:p w:rsidR="00241E29" w:rsidRPr="00241E29" w:rsidRDefault="00241E29" w:rsidP="0024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улично-дорожной сети поселения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1E29" w:rsidRPr="00241E29" w:rsidRDefault="00241E29" w:rsidP="0024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«Повышения безопасности дорожного движения».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Обоснованность их выделения в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обусловлена использованием программно-целевого метода при ее формировании и определяется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следующими факторами: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района в целом;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экономического роста, повышения качества жизни населения района, рациональной интеграции Калининского сельского поселения в экономику Ростовской области;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проектного механизма управления муниципальной программой, который позволит скоординировать деятельность областных органов исполнительной власти, органов исполнительной власти Калининского сельского поселения, 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подпрограмм основных мероприятий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 в приложении № 4 к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752A3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Информация</w:t>
      </w: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по ресурсному обеспечению </w:t>
      </w: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предполагается привлечение финансирования из областного и местных бюджетов, средств дорожного фонда Калининского сельского поселения.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за счет всех источников финансирования, планируемое с учетом ситуации в финансово-бюджетной сфере на областном и районом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подлежит ежегодному уточнению в рамках бюджетного цикла.</w:t>
      </w:r>
      <w:proofErr w:type="gramEnd"/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расходах областного, местного бюджетов на реализацию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представлена в приложении № 6 к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программе.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и расходование средств дорожного фонда Калининского сельского поселения осуществляется в объемах определенных  решением Собрания депутатов Калининского сельского поселения  о бюджете на очередной финансовый год и на плановый период и по направлениям определенным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формирования и использования бюджетных ассигнований дорожного фонда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сельского поселения.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752A3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Методика оценки эффективности</w:t>
      </w:r>
      <w:r w:rsidRPr="0037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</w:t>
      </w:r>
      <w:r w:rsidRPr="00375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Эффективность реализации муниципальной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областного и местного бюджетов, предусмотренных в целях финансирования мероприятий муниципальной программы.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эффективности реализации муниципальной программы, цели (задачи) определяются по формуле: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57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E – эффективность реализации муниципальной программы, цели (задачи), процентов;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показателя (индикатора), характеризующего выполнение цели (задачи), предусмотренное муниципальной программы;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показателей (индикаторов), характеризующих выполнение цели (задачи) муниципальной программы.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охарактеризовать по следующим уровням:</w:t>
      </w:r>
      <w:proofErr w:type="gramEnd"/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(E  95%);</w:t>
      </w:r>
    </w:p>
    <w:p w:rsidR="00241E29" w:rsidRPr="00241E29" w:rsidRDefault="00241E29" w:rsidP="00241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(E  75%);</w:t>
      </w:r>
    </w:p>
    <w:p w:rsidR="00241E29" w:rsidRPr="00241E29" w:rsidRDefault="00241E29" w:rsidP="00241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241E29" w:rsidRPr="00241E29" w:rsidRDefault="00241E29" w:rsidP="00241E2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таблицах №6 и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№7  муниципальной программы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финансирования.</w:t>
      </w:r>
    </w:p>
    <w:p w:rsidR="00241E29" w:rsidRPr="00241E29" w:rsidRDefault="00241E29" w:rsidP="00241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финансирования по муниципальной программы в целом определяется по формуле: </w:t>
      </w:r>
      <w:proofErr w:type="gramEnd"/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Уэф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----------,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Фп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Уэф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исполнения финансирования муниципальной программы за отчетный период, процентов;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Фф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израсходованный объем средств, направленный на реализацию мероприятий муниципальной программы, тыс. рублей;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Фп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 объем средств на соответствующий отчетный период, тыс. рублей.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финансирования представляется целесообразным охарактеризовать следующим образом: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(E   95%);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 (E   75%);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B105AD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3752A3"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взаимодействия ответственных исполнителей, соисполнителей, участников муниципальной программы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составляется ответственным исполнителем – Администрацией Калининского сельского поселения.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утверждается постановлением Администрации Калининского сельского поселения не позднее 5 рабочих дней со дня принятия постановления Администрации Калининского сельского поселения об утверждении муниципальной программы и далее ежегодно, не позднее 1 декабря текущего финансового года.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муниципальной программы ежегодно не позднее 15 ноября текущего финансового года представляют в Администрации Калининского сельского поселения предложения по включению в план реализации муниципальной программы.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Администрацией Калининского сельского поселения по согласованию с участниками муниципальной программы о внесении изменений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Калининского сельского поселения: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муниципальной программы;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программы, вносит предложения Главе Калининского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по запросу Министерства транспорта Ростовской области сведения (с учетом информации, представленной участниками муниципальной программы), о реализации муниципальной программы;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 и вносит их на рассмотрение Собрания депутатов Калининского сельского поселения;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отчет о реализации муниципальной программы по итогам года.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муниципальной программы: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 входящих в состав муниципальной программы, в реализации которых предполагается его участие;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ответственному исполнителю  информацию, необходимую для подготовки ответов на запросы Министерства транспорта Ростовской области;</w:t>
      </w:r>
    </w:p>
    <w:p w:rsidR="00241E29" w:rsidRPr="00241E29" w:rsidRDefault="00241E29" w:rsidP="0024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ответственному исполнителю  информацию, необходимую для подготовки отчетов об исполнении плана реализации и отчета о реализации муниципальной программы по итогам года в срок до 1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поселения Калининского сельского поселения как участники муниципальной программы представляют в Администрацию Калининского сельского поселения: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отчет о получении и использовании выделенных межбюджетных трансфертов за счет субсидий</w:t>
      </w:r>
      <w:r w:rsidRPr="00241E2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Pr="00241E2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первое число месяца, следующего за отчетным периодом;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отчет о выделении и использовании средств местного бюджета выделенных на строительство, реконструкцию, капитальный ремонт, включая разработку проектно-сметной документации</w:t>
      </w:r>
      <w:r w:rsidRPr="00241E2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первое число месяца, следующего за отчетным периодом;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5 числа месяца, следующего за отчетным периодом;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отчет о достижении показателей эффективности в срок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 февраля года, следующего за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B105AD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3752A3"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Подпрограмма «</w:t>
      </w:r>
      <w:r w:rsidRPr="00B1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улично-дорожной сети поселения </w:t>
      </w:r>
      <w:proofErr w:type="spellStart"/>
      <w:r w:rsidRPr="00B1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  <w:proofErr w:type="spellEnd"/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муниципальной программы. </w:t>
      </w:r>
    </w:p>
    <w:p w:rsidR="00241E29" w:rsidRPr="00B105AD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E29" w:rsidRPr="00B105AD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3752A3"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Паспорт подпрограммы «</w:t>
      </w:r>
      <w:r w:rsidRPr="00B1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улично-дорожной сети поселения</w:t>
      </w:r>
      <w:r w:rsidRPr="00B1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муниципальной программы.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95"/>
        <w:gridCol w:w="878"/>
        <w:gridCol w:w="6047"/>
      </w:tblGrid>
      <w:tr w:rsidR="00241E29" w:rsidRPr="00241E29">
        <w:trPr>
          <w:trHeight w:val="24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улично-дорожной сети поселения</w:t>
            </w:r>
          </w:p>
        </w:tc>
      </w:tr>
      <w:tr w:rsidR="00241E29" w:rsidRPr="00241E29">
        <w:trPr>
          <w:trHeight w:val="36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Калининского сельского поселения 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>
        <w:trPr>
          <w:trHeight w:val="36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41E29" w:rsidRPr="00241E29">
        <w:trPr>
          <w:trHeight w:val="862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241E29" w:rsidRPr="00241E29" w:rsidRDefault="00241E29" w:rsidP="00241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>
        <w:trPr>
          <w:trHeight w:val="24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41E29" w:rsidRPr="00241E29">
        <w:trPr>
          <w:trHeight w:val="1361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</w:t>
            </w:r>
          </w:p>
        </w:tc>
      </w:tr>
      <w:tr w:rsidR="00241E29" w:rsidRPr="00241E29">
        <w:trPr>
          <w:trHeight w:val="24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транспортной инфраструктуры, улучшение использования существующих мощностей для реализации транзитного потенциала района;</w:t>
            </w: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них.</w:t>
            </w:r>
          </w:p>
        </w:tc>
      </w:tr>
      <w:tr w:rsidR="00241E29" w:rsidRPr="00241E29">
        <w:trPr>
          <w:trHeight w:val="240"/>
        </w:trPr>
        <w:tc>
          <w:tcPr>
            <w:tcW w:w="3189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241E29" w:rsidRPr="00241E29" w:rsidRDefault="00241E29" w:rsidP="00241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</w:tc>
      </w:tr>
      <w:tr w:rsidR="00241E29" w:rsidRPr="00241E29">
        <w:trPr>
          <w:trHeight w:val="240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постоянной основе, этапы не выделяются: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41E2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41E2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1E29" w:rsidRPr="00241E29" w:rsidTr="003752A3">
        <w:trPr>
          <w:trHeight w:val="2967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631DFC" w:rsidRPr="00631DFC" w:rsidRDefault="003752A3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4953,9</w:t>
            </w:r>
            <w:r w:rsidR="00631DFC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1979,5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 2033,3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–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941,1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631DFC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752A3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 тыс. рублей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за счет средств областного бюджета –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1074,9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537,5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268,7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 – 268,7 тыс. рублей;</w:t>
            </w:r>
          </w:p>
          <w:p w:rsidR="003752A3" w:rsidRPr="00631DFC" w:rsidRDefault="00631DFC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3752A3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3752A3" w:rsidRPr="00631DFC" w:rsidRDefault="003752A3" w:rsidP="0037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 тыс. рублей.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Мясниковского района –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 1299,5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–       </w:t>
            </w:r>
            <w:r w:rsidR="00375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40,6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       0,0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Калининского сельского поселения  Мясниковского района –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2538,9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 – 1442,0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 –   465,1 тыс. рублей;</w:t>
            </w:r>
          </w:p>
          <w:p w:rsidR="00631DFC" w:rsidRPr="00631DFC" w:rsidRDefault="00631DFC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–  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631,8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631DFC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–  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B105AD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241E29" w:rsidRPr="00B105AD" w:rsidRDefault="00B105AD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241E29" w:rsidRPr="00241E29">
        <w:trPr>
          <w:trHeight w:val="1278"/>
        </w:trPr>
        <w:tc>
          <w:tcPr>
            <w:tcW w:w="3189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</w:tc>
        <w:tc>
          <w:tcPr>
            <w:tcW w:w="85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3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сельского поселения</w:t>
            </w: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Характеристика сферы реализации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подпрограммы «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улично-дорожной сети поселения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программы 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Калининском сельском поселении отмечается дефицит пропускной способности дорог по ряду направлений, технические параметры дорог не соответствуют современным требованиям, что сдерживает освоение территорий и замедляет темпы их социально-экономического развития.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автодорог общего пользования местного значения в Калининском сельском поселении на начало </w:t>
      </w:r>
      <w:smartTag w:uri="urn:schemas-microsoft-com:office:smarttags" w:element="metricconverter">
        <w:smartTagPr>
          <w:attr w:name="ProductID" w:val="2013 г"/>
        </w:smartTagPr>
        <w:r w:rsidRPr="00241E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составила 23,6 км, Параметры дорог местного значения соответствуют нормативам IV-V категории, на 68,8 процентах общей протяженности отсутствует усовершенствованное покрытие, на 5,5 процентах твердое покрытие. На дорогах с покрытием последнее часто требует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усиления, имеет место несоответствие по геометрическим и другим параметрам.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наиболее актуальных проблем дорожного комплекса Калининского сельского поселения относятся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рост уровня аварийности на сети дорог общего пользования вследствие опережения темпов роста интенсивности движения по сравнению с увеличением пропускной способности дорог области;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рост уровня аварийности на сети дорог общего пользования вследствие опережения темпов роста интенсивности движения по сравнению с увеличением пропускной способности дорог района;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острая нехватка средств на строительство, реконструкцию, ремонт и содержание дорог общего пользования;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необходимого финансирования снизили объемы капитального ремонта.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проблемы автодорожного комплекса Калининского сельского поселения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Цели, задачи и показатели (индикаторы),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ожидаемые конечные результаты,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сроки и этапы реализации подпрограммы «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улично-дорожной сети поселения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программы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основной цели муниципальной программы необходимо решить следующие задачи: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протяженности, соответствующей нормативным требованиям, автомобильных дорог общего пользования местного значения за счет реконструкции и капитального ремонта,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строительства и реконструкции объектов незавершенного строительства высокой степени готовности;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улучшению транспортно-эксплуатационного состояния дорожной сети;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восстановления ежегодного износа автомобильных дорог, повышение технического уровня дорог на основе модернизации и применения инновационных технологий;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транспортной инфраструктуры, улучшение использования существующих мощностей для реализации транзитного потенциала района;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транспортного обслуживания населения и снижение себестоимости транспортных услуг;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экономических и организационных условий для активизации инвестиционной и инновационной деятельности предприятий транспортного комплекса;</w:t>
      </w:r>
    </w:p>
    <w:p w:rsidR="00241E29" w:rsidRPr="00241E29" w:rsidRDefault="00241E29" w:rsidP="00241E29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транспортно-логистических комплексов.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каждого этапа является 100-процентное содержание всей сети дорог и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увеличение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«Доля протяженности автомобильных дорог общего пользования местного значения, не отвечающих нормативным    требованиям, в общей протяженности автомобильных дорог общего пользования местного значения».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Калининского сельского поселения, то в пределах срока действия подпрограммы этап реализации соответствует одному году.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.4. Характеристика основных мероприятий подпрограммы  «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улично-дорожной сети поселения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Arial"/>
          <w:sz w:val="28"/>
          <w:szCs w:val="28"/>
          <w:lang w:eastAsia="ru-RU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ремонту автомобильных дорог общего пользования местного значения и искусственных сооружений на них.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позволит сохранить протяженность участков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нормативному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научно-техническому сопровождению подпрограммы.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Мероприятия по предоставлению субсидий из областного бюджета бюджетам муниципальных образований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 и тротуаров. 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Информация по ресурсному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обеспечению подпрограммы  «Развитие улично-дорожной сети поселения» муниципальной программы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муниципальной программы предполагается привлечение финансирования из областного бюджета, бюджета Мясниковского района и средств дорожного фонда Калининского сельского поселения.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B105AD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1E29"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.6. Участие Мясниковского района</w:t>
      </w:r>
    </w:p>
    <w:p w:rsidR="00241E29" w:rsidRPr="00241E29" w:rsidRDefault="00241E29" w:rsidP="00241E29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подпрограммы  «Развитие улично-дорожной сети поселения» муниципальной программы</w:t>
      </w:r>
    </w:p>
    <w:p w:rsidR="00241E29" w:rsidRPr="00241E29" w:rsidRDefault="00241E29" w:rsidP="00241E29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реализации подпрограммы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241E2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программы участвует сельские поселения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Мясниковского района</w:t>
      </w:r>
      <w:r w:rsidRPr="00241E2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из консолидированных бюджетов муниципальных районов определяется в соответствии с постановлением Правительства Ростовской области об уровне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средств осуществляется Администрацией Мясниковского района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для исполнения районного бюджета порядке на основании бюджетной росписи в пределах выделенных ассигнований на очередной финансовый год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зачисляются на счета бюджетов сельских поселений с отражением их в доходах местных бюджетов.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Мясниковского района осуществляет перечисление средств администрациям сельских поселений района на счета администраторов доходов бюджета после получения документов - оснований принятия денежного обязательства.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 доходов в срок до 5 числа месяца, следующего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ответственному исполнителю отчет об использовании средств по направлениям, указанным в настоящем пункте, а также по установленной Администрацией форме.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осуществляет контроль за целевым и эффективным использованием средств по направлениям: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ремонт, включая разработку проектной документации,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и тротуаров;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включая разработку проектной документации межпоселковых автомобильных дорог;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реконструкция, включая разработку проектной документации,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и тротуаров;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реконструкция, включая разработку проектной документации межпоселковых автомобильных дорог»;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автомобильных дорог общего пользования местного значения.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B105AD" w:rsidP="00241E29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1E29"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Условия предоставления </w:t>
      </w:r>
      <w:r w:rsidR="00241E29"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субсидий и методика расчета субсидий.</w:t>
      </w:r>
    </w:p>
    <w:p w:rsidR="00241E29" w:rsidRPr="00241E29" w:rsidRDefault="00241E29" w:rsidP="00241E29">
      <w:pPr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плановых объемов Администрация Мясниковского района заключает соглашение с Администрацией Калининского сельского поселения,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предусматриваются: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пропорциональное уменьшение расходов на сумму сложившейся экономии по результатам проведенных торгов в части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и финансирования за счет средств местного бюджета при заключении муниципальных контрактов на строительство, реконструкцию, капитальный ремонт объектов муниципальной собственности, а также приобретение основных средств в муниципальную собственность;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авансовых платежей и окончательного расчета по муниципальным контрактам пропорционально за счет субсидии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 за счет средств местного бюджета;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администраций сельских поселений по обеспечению возврата в доход областного бюджета неиспользованных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случаях, предусмотренных бюджетным законодательством Российской Федерации;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администраций сельских поселений о представлении отчетов в порядке, сроки и по формам, установленным главными распорядителями средств районного бюджета;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порядок и сроки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эффективности использования субсидий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полномочий органов местного самоуправления по вопросам местного значения;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администраций сельских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подписания актов выполненных работ и их представление главным распорядителям средств районного бюджета 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соглашения, основания и порядок приостановления и прекращения предоставления субсидий;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на объекты строительства, реконструкции, капитального ремонта в обязательном порядке должны содержаться следующие сведения: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пообъектное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субсидий областного бюджета, предоставляемых бюджетам муниципальных районов и городских округов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пообъектное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средств местного бюджета, направляемых на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производства работ, срок ввода объектов;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перечисления субсидий и проведения расчетов, а также требования к оформлению контрактов (договоров) и иных документов.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бюджетам сельских поселений по направлениям расходования средств, при следующих условиях: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муниципальных программ, утвержденных в установленном порядке и предусматривающих средства местных бюджетов, направляемые на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правовых актах представительных органов сельских поселений о местных бюджетах средств местных бюджетов, направляемых на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объектам и направлениям, в соответствии с постановлением Правительства Ростовской области об уровне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правовых актах представительных органов сельских поселений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а также на капитальный ремонт, на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субсидии;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 права муниципальной собственности на соответствующие объекты (кроме гидротехнических сооружений, поставленных на учет в качестве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бесхозяйных),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из областного бюджета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 субсидий в первоочередном порядке включаются объекты строительства, реконструкции и капитальный ремонт автомобильных дорог общего пользования местного значения и тротуаров, на которые есть поручения Губернатора Ростовской области.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из областного бюджета бюджетам муниципальных образований на строительство, реконструкцию и капитальный ремонт автомобильных дорог общего пользования местного значения и тротуаров распределяются на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имеющих местное значение (межпоселковые,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внутрипоселковые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внутригородские). Размеры субсидий определяются по формуле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  =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+ С      ,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общий размер субсидий из областного бюджета   бюджетам муниципальных образований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  местного значения   и   тротуаров, предусмотренный Программой на соответствующий год;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   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общий размер субсидий из областного бюджета   бюджетам муниципальных образований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 и тротуаров (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внутригородских);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    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общий размер субсидий из областного бюджета бюджетам муниципальных образований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местного значения на строительство, реконструкцию и капитальный ремонт автомобильных дорог общего пользования местного значения (межпоселковых).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субсидий из областного бюджета, предоставляемых бюджету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пользования местного значения, рассчитывается по формуле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  =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+ С    ,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i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    i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i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размер субсидий из областного бюджета, предоставляемых бюджету  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образования   за  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  автомобильных   дорог   общего пользования   местного   значения и тротуаров;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  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 ВП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 субсидий из областного бюджета, предоставляемых бюджету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 автомобильных дорог общего пользования местного значения и тротуаров (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внутригородских), который рассчитывается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    = Н  / SUM Н  х С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,</w:t>
      </w:r>
      <w:proofErr w:type="gramEnd"/>
    </w:p>
    <w:p w:rsidR="00241E29" w:rsidRPr="00B44DE8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241E29" w:rsidRPr="00B44DE8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385574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8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1E29" w:rsidRPr="00385574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численность постоянного населения 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определяемая на основании данных государственного статистического наблюдения, по состоянию на 1 января года, предшествующего финансовому году, в котором осуществляется распределение субсидий;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SUM Н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i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численность постоянного населения Ростовской области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определяемаяна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основании данных государственного статистического наблюдения, по состоянию  на 1 января  года,  предшествующего финансовому году, в котором осуществляется распределение субсидий;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  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i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размер субсидий  из областного бюджета, предоставляемый бюджету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образования за счет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строительство, реконструкцию и капитальный ремонт автомобильных дорог общего  пользования местного значения  и тротуаров (межпоселковых), который рассчитывается по формуле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     = П  /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 С      ,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i МП    i    МП    </w:t>
      </w:r>
      <w:proofErr w:type="spellStart"/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Пi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протяженность автомобильных дорог местного значения (межпоселковых) на территории i-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определяемая на основании данных государственного статистического наблюдения,  по состоянию  на 1 января года,  предшествующего финансовому году, в котором осуществляется распределение субсидий; </w:t>
      </w:r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МП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протяженность автомобильных дорог общего пользования местного значения (межпоселковых)  на территории  Ростовской области, определяемая на основании данных государственного статистического наблюдения, по состоянию  на 1 января года,  предшествующего финансовому году,  в котором осуществляется распределение субсидий.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из консолидированных бюджетов муниципальных районов определяется в соответствии с постановлением Правительства Ростовской области об уровне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из консолидированных бюджетов муниципальных районов определяется в соответствии с постановлением Правительства Ростовской области об уровне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местным бюджетам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субсидий для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из областного бюджета бюджетам муниципальных образований на ремонт и содержание автомобильных дорог общего пользования местного значения предоставляются бюджетам муниципальных образований в объеме доходов от транспортного налога, ранее запланированных муниципальными образованиями и переданных с муниципального на областной уровень с 1 января </w:t>
      </w:r>
      <w:smartTag w:uri="urn:schemas-microsoft-com:office:smarttags" w:element="metricconverter">
        <w:smartTagPr>
          <w:attr w:name="ProductID" w:val="2012 г"/>
        </w:smartTagPr>
        <w:r w:rsidRPr="00241E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Подпрограмма «Повышение безопасности дорожного движения» 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105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Паспорт подпрограммы 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«Повышения безопасности дорожного движения»</w:t>
      </w:r>
      <w:r w:rsidRPr="00241E2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6"/>
        <w:gridCol w:w="589"/>
        <w:gridCol w:w="5271"/>
      </w:tblGrid>
      <w:tr w:rsidR="00241E29" w:rsidRPr="00241E29">
        <w:trPr>
          <w:trHeight w:val="876"/>
        </w:trPr>
        <w:tc>
          <w:tcPr>
            <w:tcW w:w="39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безопасности дорожного движения 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подпрограммы муниципальной программы Калининского сельского поселения 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Калининского сельского поселения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Калининском сельском поселении 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происшествий;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последствий в результате дорожно-транспортных происшествий (количество погибших на 100 пострадавших).</w:t>
            </w:r>
          </w:p>
        </w:tc>
      </w:tr>
      <w:tr w:rsidR="00241E29" w:rsidRPr="00241E29" w:rsidTr="003752A3">
        <w:trPr>
          <w:trHeight w:val="1178"/>
        </w:trPr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 2014 – 2016 годы;</w:t>
            </w:r>
          </w:p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 2017 – 2020 годы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1DFC" w:rsidRPr="00631DFC" w:rsidRDefault="00631DFC" w:rsidP="0063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на 2014 – 2020 годы составляет </w:t>
            </w:r>
            <w:r w:rsidR="00B1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874,6</w:t>
            </w: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631DFC" w:rsidRPr="00631DFC" w:rsidRDefault="00631DFC" w:rsidP="0063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31DFC" w:rsidRPr="00631DFC" w:rsidRDefault="00631DFC" w:rsidP="0063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158,0 тыс. рублей;</w:t>
            </w:r>
          </w:p>
          <w:p w:rsidR="00631DFC" w:rsidRPr="00631DFC" w:rsidRDefault="00631DFC" w:rsidP="0063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200,0 тыс. рублей;</w:t>
            </w:r>
          </w:p>
          <w:p w:rsidR="00631DFC" w:rsidRPr="00631DFC" w:rsidRDefault="00631DFC" w:rsidP="0063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B1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516,6</w:t>
            </w: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631DFC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B10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B105AD"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B105AD" w:rsidRPr="00631DFC" w:rsidRDefault="00631DFC" w:rsidP="00B10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средств бюджета Калининского сельского поселения Мясниковского района – 1</w:t>
            </w:r>
            <w:r w:rsidR="00B105AD"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5AD"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B1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874,6</w:t>
            </w:r>
            <w:r w:rsidR="00B105AD"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B105AD" w:rsidRPr="00631DFC" w:rsidRDefault="00B105AD" w:rsidP="00B10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105AD" w:rsidRPr="00631DFC" w:rsidRDefault="00B105AD" w:rsidP="00B10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158,0 тыс. рублей;</w:t>
            </w:r>
          </w:p>
          <w:p w:rsidR="00B105AD" w:rsidRPr="00631DFC" w:rsidRDefault="00B105AD" w:rsidP="00B10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200,0 тыс. рублей;</w:t>
            </w:r>
          </w:p>
          <w:p w:rsidR="00B105AD" w:rsidRPr="00631DFC" w:rsidRDefault="00B105AD" w:rsidP="00B105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516,6</w:t>
            </w: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B105AD" w:rsidRPr="00631DFC" w:rsidRDefault="00B105AD" w:rsidP="00B1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241E29" w:rsidRPr="00B105AD" w:rsidRDefault="00B105AD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 тыс. рублей.</w:t>
            </w:r>
          </w:p>
        </w:tc>
      </w:tr>
      <w:tr w:rsidR="00241E29" w:rsidRPr="00241E29">
        <w:tc>
          <w:tcPr>
            <w:tcW w:w="3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муниципальной программы Калининского сельского поселения</w:t>
            </w:r>
          </w:p>
        </w:tc>
        <w:tc>
          <w:tcPr>
            <w:tcW w:w="54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E29" w:rsidRPr="00241E29" w:rsidRDefault="00241E29" w:rsidP="00241E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 2020 году количества лиц, погиб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ших в результате до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рожно-транспортных происшествий</w:t>
            </w:r>
          </w:p>
        </w:tc>
      </w:tr>
    </w:tbl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9.2. Характеристика сферы реализации подпрограммы «Повышения безопасности дорожного движения» 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</w:t>
      </w:r>
      <w:proofErr w:type="gram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численности.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9.3. Цели, задачи и показатели (индикаторы),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ожидаемые конечные результаты, сроки и этапы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подпрограммы «Повышение безопасности дорожного движения» 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является сокращение количества лиц, погибших в результате дорожно-транспортных происшествий.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ее достижения является решение следующих задач: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тяжести травм в дорожно-транспортных происшествиях;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системы оказания помощи пострадавшим в дорожно-транспортных происшествиях – спасение жизней;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 фото и </w:t>
      </w:r>
      <w:proofErr w:type="spellStart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правил дорожного движения на территории Калининского сельского поселения.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цели подпрограммы по годам ее реализации осуществляется с использованием системы целевых показателей подпрограммы: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погибших в результате дорожно-транспортных происшествий;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последствий (число лиц, погибших в дорожно-транспортных происшествиях, на 100 пострадавших).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ожидаемые конечные результаты реализации подпрограммы муниципальной  программы Калининского сельского поселения: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лиц, погибших в результате дорожно-транспортных происшествий;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тяжести последствий;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современной системы обеспечения безопасности дорожного движения на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общего пользования и улично-дорожной сети населённых пунктов в Калининском сельском поселении.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и этапы реализации подпрограммы муниципальной программы Калининского сельского поселения: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рассчитана на 2014 – 2020 годы и будет осуществляться 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 этапа: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2014 – 2016 годы;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2017 – 2020 годы.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9.4. Характеристика основных мероприятий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и мероприятий ведомственных целевых программ подпрограммы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«Повышение безопасности дорожного движения» 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оказания помощи пострадавшим в дорожно-транспортных происшествиях;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 фото и </w:t>
      </w:r>
      <w:proofErr w:type="spellStart"/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правил дорожного движения на территории Калининского сельского поселения.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целей подпрограммы «Повышения безопасности дорожного движения» муниципальной программы планируется за счет реализации следующих мероприятий: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научно-мето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дических материалов, программ, классов БДД, печатных и электронных учебных пособий для учреждений дошкольного образования, общеобразовательных учреждений для системы дополнительного образования детей, а также для педагогов общеобразовательных учреждений;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профильных смен юных инспекторов движения, детских конкурсов, викторин.</w:t>
      </w: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9.5. Информация по ресурсному обеспечению подпрограммы «Повышения безопасности дорожного движения» муниципальной программы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подпрограммы «Повышения безопасности дорожного движения»  муниципальной программы осуществляется за счет средств местного бюджета. 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мероприятий подпрограммы «Повышения безопасности дорожного движения» муниципальной программы получение субсидий из областного бюджета не планируется.</w:t>
      </w:r>
    </w:p>
    <w:p w:rsidR="00241E29" w:rsidRPr="00241E29" w:rsidRDefault="00241E29" w:rsidP="00241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E29" w:rsidRPr="00241E29" w:rsidSect="003752A3">
          <w:pgSz w:w="11906" w:h="16838" w:code="9"/>
          <w:pgMar w:top="709" w:right="566" w:bottom="1438" w:left="1260" w:header="720" w:footer="720" w:gutter="0"/>
          <w:cols w:space="720"/>
        </w:sect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41E29" w:rsidRPr="00241E29" w:rsidRDefault="00241E29" w:rsidP="00241E2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0"/>
      <w:bookmarkEnd w:id="1"/>
    </w:p>
    <w:p w:rsidR="00241E29" w:rsidRPr="00241E29" w:rsidRDefault="00241E29" w:rsidP="00241E29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241E29" w:rsidRPr="00241E29" w:rsidRDefault="00241E29" w:rsidP="0024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 Калининского сельского поселения «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подпрограмм муниципальной программы и их значениях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241E29" w:rsidRPr="00241E29">
        <w:trPr>
          <w:trHeight w:val="360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из-мере-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8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241E29" w:rsidRPr="00241E29">
        <w:trPr>
          <w:trHeight w:val="561"/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4908"/>
        <w:gridCol w:w="983"/>
        <w:gridCol w:w="821"/>
        <w:gridCol w:w="7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241E29" w:rsidRPr="00241E29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41E29" w:rsidRPr="00241E29"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Калининского сельского поселения «</w:t>
            </w:r>
            <w:r w:rsidRPr="00241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Pr="00241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            </w:t>
            </w:r>
          </w:p>
        </w:tc>
      </w:tr>
      <w:tr w:rsidR="00241E29" w:rsidRPr="00241E29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местного значения 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про-цент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</w:tr>
      <w:tr w:rsidR="00241E29" w:rsidRPr="00241E29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чело-век</w:t>
            </w:r>
            <w:proofErr w:type="gramEnd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41E29" w:rsidRPr="00241E29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Тяжесть последствий в результате до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рожно-транспортных происшествий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(количество погибших на 100 постра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давших)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еди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41E29" w:rsidRPr="00241E29">
        <w:trPr>
          <w:trHeight w:val="292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улично-дорожной сети поселения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41E29" w:rsidRPr="00241E29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километров построенных  (реконструированных) и отремонтиро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ванных (капитально отремонтирован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ных) автомобильных дорог общего пользования местного значения 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41E29" w:rsidRPr="00241E29">
        <w:trPr>
          <w:trHeight w:val="292"/>
        </w:trPr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безопасности дорожного движения»</w:t>
            </w:r>
          </w:p>
        </w:tc>
      </w:tr>
      <w:tr w:rsidR="00241E29" w:rsidRPr="00241E29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чело-век</w:t>
            </w:r>
            <w:proofErr w:type="gramEnd"/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41E29" w:rsidRPr="00241E29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последствий в результате до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рожно-транспортных происшествий  (количество погибших на 100 постра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давших)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услов-ные</w:t>
            </w:r>
            <w:proofErr w:type="spellEnd"/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ницы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E29" w:rsidRPr="00241E29" w:rsidSect="003752A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 2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" w:name="Par990"/>
      <w:bookmarkEnd w:id="2"/>
      <w:r w:rsidRPr="00241E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показателях, включенных в федеральный (региональный) план статистических работ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2"/>
        <w:gridCol w:w="3128"/>
        <w:gridCol w:w="3543"/>
        <w:gridCol w:w="5153"/>
        <w:gridCol w:w="2074"/>
      </w:tblGrid>
      <w:tr w:rsidR="00241E29" w:rsidRPr="00241E29">
        <w:trPr>
          <w:trHeight w:val="14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федерального (регионального)  плана   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статистических работ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   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официального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статистического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учета</w:t>
            </w: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29"/>
        <w:gridCol w:w="3127"/>
        <w:gridCol w:w="3541"/>
        <w:gridCol w:w="5146"/>
        <w:gridCol w:w="2077"/>
      </w:tblGrid>
      <w:tr w:rsidR="00241E29" w:rsidRPr="00241E29">
        <w:trPr>
          <w:trHeight w:val="227"/>
          <w:tblHeader/>
        </w:trPr>
        <w:tc>
          <w:tcPr>
            <w:tcW w:w="89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7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41E29" w:rsidRPr="00241E29">
        <w:trPr>
          <w:trHeight w:val="415"/>
        </w:trPr>
        <w:tc>
          <w:tcPr>
            <w:tcW w:w="89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9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томобильных дорог об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щего пользования мест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значения, не отве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 нормативным требованиям, в общей протяженности автомо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бильных дорог местного значения</w:t>
            </w:r>
          </w:p>
        </w:tc>
        <w:tc>
          <w:tcPr>
            <w:tcW w:w="3897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2.2.6  Федерального плана статистических работ, утверждённого распоряже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 Правительства Россий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Федерации от 06.05.2008 №671-р</w:t>
            </w:r>
          </w:p>
        </w:tc>
        <w:tc>
          <w:tcPr>
            <w:tcW w:w="567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форма Федерального статистиче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наблюдения №3-ДГ (МО) «Сведения об автомобильных дорогах общего пользо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и сооружений на них местного зна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чения», утверждённая  постановлением Росстата от 08.10.2007 №72</w:t>
            </w:r>
          </w:p>
        </w:tc>
        <w:tc>
          <w:tcPr>
            <w:tcW w:w="227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Росстат</w:t>
            </w:r>
          </w:p>
        </w:tc>
      </w:tr>
    </w:tbl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3" w:name="Par1016"/>
      <w:bookmarkEnd w:id="3"/>
      <w:r w:rsidRPr="00241E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методике расчета показателя (индикатора) муниципальной программы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8"/>
        <w:gridCol w:w="3464"/>
        <w:gridCol w:w="1108"/>
        <w:gridCol w:w="5717"/>
        <w:gridCol w:w="3573"/>
      </w:tblGrid>
      <w:tr w:rsidR="00241E29" w:rsidRPr="00241E29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ница </w:t>
            </w:r>
            <w:proofErr w:type="spellStart"/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-рения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расчета показателя (формула) и </w:t>
            </w:r>
          </w:p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Базовые  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 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(используемые в формуле)</w:t>
            </w: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69"/>
        <w:gridCol w:w="3462"/>
        <w:gridCol w:w="1119"/>
        <w:gridCol w:w="5701"/>
        <w:gridCol w:w="3569"/>
      </w:tblGrid>
      <w:tr w:rsidR="00241E29" w:rsidRPr="00241E29">
        <w:trPr>
          <w:tblHeader/>
        </w:trPr>
        <w:tc>
          <w:tcPr>
            <w:tcW w:w="89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3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41E29" w:rsidRPr="00241E29">
        <w:trPr>
          <w:trHeight w:val="830"/>
        </w:trPr>
        <w:tc>
          <w:tcPr>
            <w:tcW w:w="891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3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мобильных дорог общего пользования местного значения, не отве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 нормативным тре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бованиям, в общей протя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женности автомобильных дорог общего пользования местного значения (межпоселковых);</w:t>
            </w:r>
          </w:p>
        </w:tc>
        <w:tc>
          <w:tcPr>
            <w:tcW w:w="1148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871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х100%</w:t>
            </w: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протяженности ав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томобильных дорог общего местного значения, не отве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 нормативным тре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бованиям, в общей протя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женности автомобильных дорог общего пользования местного значения (межпоселковых);</w:t>
            </w:r>
          </w:p>
        </w:tc>
      </w:tr>
      <w:tr w:rsidR="00241E29" w:rsidRPr="00241E29">
        <w:trPr>
          <w:trHeight w:val="830"/>
        </w:trPr>
        <w:tc>
          <w:tcPr>
            <w:tcW w:w="89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автомобильные дороги общего пользования мест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значения, не отвечаю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щие нормативным требова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(межпоселковых);</w:t>
            </w:r>
          </w:p>
        </w:tc>
      </w:tr>
      <w:tr w:rsidR="00241E29" w:rsidRPr="00241E29">
        <w:trPr>
          <w:trHeight w:val="830"/>
        </w:trPr>
        <w:tc>
          <w:tcPr>
            <w:tcW w:w="89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общая протяженность автомобильных дорог об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щего пользования местного значения (межпоселковых);</w:t>
            </w:r>
          </w:p>
        </w:tc>
      </w:tr>
      <w:tr w:rsidR="00241E29" w:rsidRPr="00241E29" w:rsidTr="003752A3">
        <w:trPr>
          <w:trHeight w:val="830"/>
        </w:trPr>
        <w:tc>
          <w:tcPr>
            <w:tcW w:w="891" w:type="dxa"/>
            <w:vMerge w:val="restart"/>
            <w:vAlign w:val="center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63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мобильных дорог общего пользования местного значения, не отве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 нормативным тре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бованиям, в общей протя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женности автомобильных дорог общего пользования местного значения</w:t>
            </w:r>
          </w:p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1148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871" w:type="dxa"/>
            <w:vMerge w:val="restart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х100%</w:t>
            </w: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протяженности ав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томобильных дорог общего местного значения, не отве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чающих нормативным тре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бованиям, в общей протя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женности автомобильных дорог общего пользования местного значения 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241E29" w:rsidRPr="00241E29">
        <w:trPr>
          <w:trHeight w:val="830"/>
        </w:trPr>
        <w:tc>
          <w:tcPr>
            <w:tcW w:w="89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автомобильные дороги общего пользования мест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значения, не отвечаю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щие нормативным требова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241E29" w:rsidRPr="00241E29">
        <w:trPr>
          <w:trHeight w:val="830"/>
        </w:trPr>
        <w:tc>
          <w:tcPr>
            <w:tcW w:w="89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1" w:type="dxa"/>
            <w:vMerge/>
            <w:vAlign w:val="center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4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общая протяженность автомобильных дорог об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щего пользования местного значения (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241E29" w:rsidRPr="00241E29">
        <w:trPr>
          <w:trHeight w:val="4245"/>
        </w:trPr>
        <w:tc>
          <w:tcPr>
            <w:tcW w:w="89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63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дорожно-транспортных происше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ствий</w:t>
            </w:r>
          </w:p>
        </w:tc>
        <w:tc>
          <w:tcPr>
            <w:tcW w:w="1148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5871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значения показателей рассчитыва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ются по формуле: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П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*4,5%/100% – П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где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лиц, погибших в результате до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рожно-транспортных происшествий; </w:t>
            </w:r>
          </w:p>
          <w:p w:rsidR="00241E29" w:rsidRPr="00241E29" w:rsidRDefault="00241E29" w:rsidP="00241E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лиц, погибших в результате дорожно-транспортных происшествий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предшествующий год; 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4,5% - прогнозируемое ежегодное снижение количества лиц, погибших в дорожно-транс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портных происшествиях.</w:t>
            </w:r>
          </w:p>
        </w:tc>
        <w:tc>
          <w:tcPr>
            <w:tcW w:w="3674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портных происшествий, за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регистрированных ОГИБДД Калининского сельского поселения по итогам 2012 года (6 чел.) с ежегодным уменьшением на 4,5% к 2020 году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E29" w:rsidRPr="00241E29">
        <w:trPr>
          <w:trHeight w:val="2198"/>
        </w:trPr>
        <w:tc>
          <w:tcPr>
            <w:tcW w:w="891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63" w:type="dxa"/>
          </w:tcPr>
          <w:p w:rsidR="00241E29" w:rsidRPr="00241E29" w:rsidRDefault="00241E29" w:rsidP="0024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последствий в ре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зультате дорожно-транс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портных происшествий </w:t>
            </w:r>
          </w:p>
        </w:tc>
        <w:tc>
          <w:tcPr>
            <w:tcW w:w="1148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погиб-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proofErr w:type="spellEnd"/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 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стра-давших</w:t>
            </w:r>
            <w:proofErr w:type="spellEnd"/>
          </w:p>
        </w:tc>
        <w:tc>
          <w:tcPr>
            <w:tcW w:w="5871" w:type="dxa"/>
          </w:tcPr>
          <w:p w:rsidR="00241E29" w:rsidRPr="00241E29" w:rsidRDefault="00241E29" w:rsidP="00241E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/П+Р * 100, где</w:t>
            </w:r>
          </w:p>
          <w:p w:rsidR="00241E29" w:rsidRPr="00241E29" w:rsidRDefault="00241E29" w:rsidP="00241E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лиц, погибших в результате до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рожно-транспортных происшествий,</w:t>
            </w:r>
          </w:p>
          <w:p w:rsidR="00241E29" w:rsidRPr="00241E29" w:rsidRDefault="00241E29" w:rsidP="00241E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лиц, получивших ранения в до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рожно-транспортных происшествиях</w:t>
            </w:r>
          </w:p>
        </w:tc>
        <w:tc>
          <w:tcPr>
            <w:tcW w:w="3674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погибших в результате дорожно-транс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портных происшествий, за</w:t>
            </w:r>
            <w:r w:rsidRPr="0024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регистрированных ОГИБДД Калининского сельского поселения по итогам 2012 года (6 чел.) с ежегодным уменьшением на 4,5% к 2020 году</w:t>
            </w: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 4</w:t>
      </w: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24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и мероприятий муниципальной программы Калининского сельского поселения 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41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241E29" w:rsidRPr="00241E29" w:rsidRDefault="00241E29" w:rsidP="0024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241E29" w:rsidRPr="00241E29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основного меропри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ятия,</w:t>
            </w:r>
          </w:p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домственной целе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программы</w:t>
            </w:r>
          </w:p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тель, участ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ник, ответ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ственный за исполнение основного </w:t>
            </w:r>
            <w:r w:rsidRPr="00241E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мероприятия,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результат    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(краткое описа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не реализации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мероприятия, меро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ведом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 целевой   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  государ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241E29" w:rsidRPr="00241E29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E29" w:rsidRPr="00241E29" w:rsidRDefault="00241E29" w:rsidP="0024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38"/>
        <w:gridCol w:w="2473"/>
        <w:gridCol w:w="1655"/>
        <w:gridCol w:w="1255"/>
        <w:gridCol w:w="21"/>
        <w:gridCol w:w="1108"/>
        <w:gridCol w:w="2053"/>
        <w:gridCol w:w="2522"/>
        <w:gridCol w:w="2995"/>
      </w:tblGrid>
      <w:tr w:rsidR="00241E29" w:rsidRPr="00241E29" w:rsidTr="003752A3">
        <w:trPr>
          <w:tblHeader/>
        </w:trPr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gridSpan w:val="2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7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8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2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E29" w:rsidRPr="00241E29" w:rsidTr="003752A3"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34" w:type="dxa"/>
            <w:gridSpan w:val="8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</w:t>
            </w:r>
            <w:r w:rsidRPr="0024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поселения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1E29" w:rsidRPr="00241E29" w:rsidTr="003752A3">
        <w:trPr>
          <w:trHeight w:val="3182"/>
        </w:trPr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241E29" w:rsidRPr="00241E29" w:rsidRDefault="00241E29" w:rsidP="00241E2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1.1: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</w:t>
            </w:r>
            <w:proofErr w:type="spellStart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местного значения </w:t>
            </w: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сельского поселения</w:t>
            </w:r>
          </w:p>
        </w:tc>
        <w:tc>
          <w:tcPr>
            <w:tcW w:w="1349" w:type="dxa"/>
            <w:gridSpan w:val="2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0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7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в полном объ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еме</w:t>
            </w:r>
          </w:p>
        </w:tc>
        <w:tc>
          <w:tcPr>
            <w:tcW w:w="2678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протяженности ав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томобильных дорог общего пользования местного значения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отвечающих норма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тивным требова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 в общей про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тяженности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пользования местного зна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182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про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тяженности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общего пользования местного значения, не отвечающих норматив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требованиям, в общей протяженности автомобильных дорог общего  пользования местного значения</w:t>
            </w:r>
          </w:p>
        </w:tc>
      </w:tr>
      <w:tr w:rsidR="00241E29" w:rsidRPr="00241E29" w:rsidTr="003752A3">
        <w:trPr>
          <w:trHeight w:val="339"/>
        </w:trPr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934" w:type="dxa"/>
            <w:gridSpan w:val="8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«Повышение безопасности дорожного движения»</w:t>
            </w:r>
          </w:p>
        </w:tc>
      </w:tr>
      <w:tr w:rsidR="00241E29" w:rsidRPr="00241E29" w:rsidTr="003752A3">
        <w:trPr>
          <w:trHeight w:val="1640"/>
        </w:trPr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25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ятие 2.1.</w:t>
            </w:r>
          </w:p>
          <w:p w:rsidR="00241E29" w:rsidRPr="00241E29" w:rsidRDefault="00241E29" w:rsidP="00241E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и содержание автомобильных дорог общего пользования местного значения</w:t>
            </w: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сельского поселения</w:t>
            </w:r>
          </w:p>
        </w:tc>
        <w:tc>
          <w:tcPr>
            <w:tcW w:w="1349" w:type="dxa"/>
            <w:gridSpan w:val="2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7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в полном объ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еме</w:t>
            </w:r>
          </w:p>
        </w:tc>
        <w:tc>
          <w:tcPr>
            <w:tcW w:w="2678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протяженности ав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томобильных дорог общего пользования местного значения</w:t>
            </w:r>
            <w:proofErr w:type="gramEnd"/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отвечающих норма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тивным требова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 в общей про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тяженности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пользования местного зна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182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про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тяженности автомо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общего пользования местного значения, не отвечающих норматив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требованиям, в общей протяженности автомобильных дорог общего  пользования местного значения</w:t>
            </w:r>
          </w:p>
        </w:tc>
      </w:tr>
      <w:tr w:rsidR="00241E29" w:rsidRPr="00241E29" w:rsidTr="003752A3">
        <w:trPr>
          <w:trHeight w:val="2563"/>
        </w:trPr>
        <w:tc>
          <w:tcPr>
            <w:tcW w:w="669" w:type="dxa"/>
          </w:tcPr>
          <w:p w:rsidR="00241E29" w:rsidRPr="00241E29" w:rsidRDefault="00241E29" w:rsidP="00241E29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25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ятие 2.3.</w:t>
            </w:r>
          </w:p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безопасности дорожного движения в поселении </w:t>
            </w:r>
          </w:p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241E29" w:rsidRPr="00241E29" w:rsidRDefault="00241E29" w:rsidP="002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Калининского сельского поселения</w:t>
            </w:r>
          </w:p>
        </w:tc>
        <w:tc>
          <w:tcPr>
            <w:tcW w:w="1349" w:type="dxa"/>
            <w:gridSpan w:val="2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0" w:type="dxa"/>
          </w:tcPr>
          <w:p w:rsidR="00241E29" w:rsidRPr="00241E29" w:rsidRDefault="00241E29" w:rsidP="002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7" w:type="dxa"/>
          </w:tcPr>
          <w:p w:rsidR="00241E29" w:rsidRPr="00241E29" w:rsidRDefault="00241E29" w:rsidP="0024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 на автомобильных дорогах общего пользования и улично-дорожной сети населенных пунктов в Калининском сельском поселении.</w:t>
            </w:r>
          </w:p>
        </w:tc>
        <w:tc>
          <w:tcPr>
            <w:tcW w:w="2678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пешеходов по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гибших в резуль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тате дорожно-транспортных про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исшествий на доро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гах регионального и межмуниципаль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значения</w:t>
            </w:r>
          </w:p>
        </w:tc>
        <w:tc>
          <w:tcPr>
            <w:tcW w:w="3182" w:type="dxa"/>
          </w:tcPr>
          <w:p w:rsidR="00241E29" w:rsidRPr="00241E29" w:rsidRDefault="00241E29" w:rsidP="0024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 2020 году количества лиц, погиб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в результате до</w:t>
            </w:r>
            <w:r w:rsidRPr="002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рожно-транспортных происшествий</w:t>
            </w:r>
          </w:p>
        </w:tc>
      </w:tr>
    </w:tbl>
    <w:p w:rsidR="00241E29" w:rsidRPr="00241E29" w:rsidRDefault="00241E29" w:rsidP="00241E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4" w:name="Par487"/>
      <w:bookmarkEnd w:id="4"/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29" w:rsidRPr="00241E29" w:rsidRDefault="00241E29" w:rsidP="00241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Калининского сельского поселения  Мясниковского района </w:t>
      </w: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Калининского сельского поселения «</w:t>
      </w:r>
      <w:r w:rsidRPr="0063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  <w:r w:rsidRPr="00631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</w:p>
    <w:tbl>
      <w:tblPr>
        <w:tblW w:w="5123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014"/>
        <w:gridCol w:w="2164"/>
        <w:gridCol w:w="1742"/>
        <w:gridCol w:w="705"/>
        <w:gridCol w:w="529"/>
        <w:gridCol w:w="607"/>
        <w:gridCol w:w="452"/>
        <w:gridCol w:w="1052"/>
        <w:gridCol w:w="1048"/>
        <w:gridCol w:w="1028"/>
        <w:gridCol w:w="1048"/>
        <w:gridCol w:w="1016"/>
        <w:gridCol w:w="898"/>
        <w:gridCol w:w="779"/>
      </w:tblGrid>
      <w:tr w:rsidR="00631DFC" w:rsidRPr="00631DFC" w:rsidTr="001213CF">
        <w:trPr>
          <w:trHeight w:val="720"/>
        </w:trPr>
        <w:tc>
          <w:tcPr>
            <w:tcW w:w="2014" w:type="dxa"/>
            <w:vMerge w:val="restart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4" w:type="dxa"/>
            <w:vMerge w:val="restart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государственной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государственной 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1742" w:type="dxa"/>
            <w:vMerge w:val="restart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2293" w:type="dxa"/>
            <w:gridSpan w:val="4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anchor="Par867" w:history="1">
              <w:r w:rsidRPr="00631D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6869" w:type="dxa"/>
            <w:gridSpan w:val="7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hyperlink r:id="rId8" w:anchor="Par867" w:history="1">
              <w:r w:rsidRPr="00631DF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рублей), годы</w:t>
            </w:r>
          </w:p>
        </w:tc>
      </w:tr>
      <w:tr w:rsidR="00631DFC" w:rsidRPr="00631DFC" w:rsidTr="001213CF">
        <w:trPr>
          <w:trHeight w:val="1739"/>
        </w:trPr>
        <w:tc>
          <w:tcPr>
            <w:tcW w:w="2014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9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07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4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2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4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16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9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9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31DFC" w:rsidRPr="00631DFC" w:rsidTr="001213CF">
        <w:tc>
          <w:tcPr>
            <w:tcW w:w="2014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6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31DFC" w:rsidRPr="00631DFC" w:rsidTr="001213CF">
        <w:trPr>
          <w:trHeight w:val="540"/>
        </w:trPr>
        <w:tc>
          <w:tcPr>
            <w:tcW w:w="2014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2164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742" w:type="dxa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951</w:t>
            </w:r>
          </w:p>
        </w:tc>
        <w:tc>
          <w:tcPr>
            <w:tcW w:w="529" w:type="dxa"/>
            <w:vAlign w:val="center"/>
          </w:tcPr>
          <w:p w:rsidR="00631DFC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631DFC" w:rsidRPr="00631DFC" w:rsidRDefault="001213CF" w:rsidP="001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2" w:type="dxa"/>
            <w:vAlign w:val="center"/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1048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2233,3</w:t>
            </w:r>
          </w:p>
        </w:tc>
        <w:tc>
          <w:tcPr>
            <w:tcW w:w="1028" w:type="dxa"/>
            <w:vAlign w:val="center"/>
          </w:tcPr>
          <w:p w:rsidR="00631DFC" w:rsidRPr="00631DFC" w:rsidRDefault="00B105AD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1457,7</w:t>
            </w:r>
          </w:p>
        </w:tc>
        <w:tc>
          <w:tcPr>
            <w:tcW w:w="1048" w:type="dxa"/>
            <w:vAlign w:val="center"/>
          </w:tcPr>
          <w:p w:rsidR="00631DFC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631DFC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631DFC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631DFC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439"/>
        </w:trPr>
        <w:tc>
          <w:tcPr>
            <w:tcW w:w="201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</w:t>
            </w:r>
          </w:p>
        </w:tc>
        <w:tc>
          <w:tcPr>
            <w:tcW w:w="216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поселения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529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1979,5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2033,3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941,1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343"/>
        </w:trPr>
        <w:tc>
          <w:tcPr>
            <w:tcW w:w="201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 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и содержание </w:t>
            </w:r>
            <w:proofErr w:type="spellStart"/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 дорог местного значения 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Калининского сельского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29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0710020130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8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8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1764,6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 w:right="-8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343"/>
        </w:trPr>
        <w:tc>
          <w:tcPr>
            <w:tcW w:w="2014" w:type="dxa"/>
          </w:tcPr>
          <w:p w:rsidR="001213CF" w:rsidRPr="00631DFC" w:rsidRDefault="001213CF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 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1.2.: </w:t>
            </w:r>
          </w:p>
        </w:tc>
        <w:tc>
          <w:tcPr>
            <w:tcW w:w="216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ремонт и содержание автомобильных дорог общего пользования 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29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0710073510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820"/>
        </w:trPr>
        <w:tc>
          <w:tcPr>
            <w:tcW w:w="2014" w:type="dxa"/>
          </w:tcPr>
          <w:p w:rsidR="001213CF" w:rsidRPr="00631DFC" w:rsidRDefault="001213CF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ятие 1.3.:</w:t>
            </w:r>
          </w:p>
          <w:p w:rsidR="001213CF" w:rsidRPr="00631DFC" w:rsidRDefault="001213CF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proofErr w:type="spellStart"/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29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071020140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820"/>
        </w:trPr>
        <w:tc>
          <w:tcPr>
            <w:tcW w:w="2014" w:type="dxa"/>
          </w:tcPr>
          <w:p w:rsidR="001213CF" w:rsidRPr="00631DFC" w:rsidRDefault="001213CF" w:rsidP="0063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ятие 1.4</w:t>
            </w:r>
          </w:p>
        </w:tc>
        <w:tc>
          <w:tcPr>
            <w:tcW w:w="2164" w:type="dxa"/>
          </w:tcPr>
          <w:p w:rsidR="001213CF" w:rsidRPr="001213CF" w:rsidRDefault="001213CF" w:rsidP="001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 xml:space="preserve"> (геодезически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3CF">
              <w:rPr>
                <w:rFonts w:ascii="Times New Roman" w:hAnsi="Times New Roman" w:cs="Times New Roman"/>
                <w:sz w:val="24"/>
                <w:szCs w:val="24"/>
              </w:rPr>
              <w:t>) и изготовление технического плана объектов транспортной инфраструктуры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29" w:type="dxa"/>
            <w:vAlign w:val="center"/>
          </w:tcPr>
          <w:p w:rsidR="001213CF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0710085320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048" w:type="dxa"/>
            <w:vAlign w:val="center"/>
          </w:tcPr>
          <w:p w:rsidR="001213CF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1198"/>
        </w:trPr>
        <w:tc>
          <w:tcPr>
            <w:tcW w:w="201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   </w:t>
            </w:r>
          </w:p>
        </w:tc>
        <w:tc>
          <w:tcPr>
            <w:tcW w:w="216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«Повышения безопасности дорожного движения на территории поселения»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29" w:type="dxa"/>
            <w:vAlign w:val="center"/>
          </w:tcPr>
          <w:p w:rsidR="001213CF" w:rsidRPr="00631DFC" w:rsidRDefault="001213CF" w:rsidP="001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1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3CF" w:rsidRPr="00631DFC" w:rsidTr="001213CF">
        <w:trPr>
          <w:trHeight w:val="270"/>
        </w:trPr>
        <w:tc>
          <w:tcPr>
            <w:tcW w:w="2014" w:type="dxa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2.1</w:t>
            </w:r>
          </w:p>
        </w:tc>
        <w:tc>
          <w:tcPr>
            <w:tcW w:w="2164" w:type="dxa"/>
          </w:tcPr>
          <w:p w:rsidR="001213CF" w:rsidRPr="00631DFC" w:rsidRDefault="001213CF" w:rsidP="00631DFC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безопасности дорожного движения в поселении</w:t>
            </w:r>
          </w:p>
        </w:tc>
        <w:tc>
          <w:tcPr>
            <w:tcW w:w="1742" w:type="dxa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Калининского сельского поселения  </w:t>
            </w:r>
          </w:p>
        </w:tc>
        <w:tc>
          <w:tcPr>
            <w:tcW w:w="705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07" w:type="dxa"/>
            <w:vAlign w:val="center"/>
          </w:tcPr>
          <w:p w:rsidR="001213CF" w:rsidRPr="00631DFC" w:rsidRDefault="001213CF" w:rsidP="001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0720020150</w:t>
            </w:r>
          </w:p>
        </w:tc>
        <w:tc>
          <w:tcPr>
            <w:tcW w:w="45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52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8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04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vAlign w:val="center"/>
          </w:tcPr>
          <w:p w:rsidR="001213CF" w:rsidRPr="00631DFC" w:rsidRDefault="001213CF" w:rsidP="00F4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31DFC" w:rsidRPr="00631DFC" w:rsidRDefault="00631DFC" w:rsidP="0063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631DFC" w:rsidRPr="00631DFC" w:rsidRDefault="00631DFC" w:rsidP="00631DF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31DFC" w:rsidRPr="00631DFC" w:rsidRDefault="00631DFC" w:rsidP="00631DFC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31DFC" w:rsidRPr="00631DFC" w:rsidRDefault="00631DFC" w:rsidP="00631D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</w:p>
    <w:p w:rsidR="00631DFC" w:rsidRPr="00631DFC" w:rsidRDefault="00631DFC" w:rsidP="0063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бюджета, федерального бюджета, местных бюджетов</w:t>
      </w:r>
    </w:p>
    <w:p w:rsidR="00631DFC" w:rsidRPr="00631DFC" w:rsidRDefault="00631DFC" w:rsidP="0063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внебюджетных источников на реализацию муниципальной программы</w:t>
      </w:r>
    </w:p>
    <w:p w:rsidR="00631DFC" w:rsidRPr="00631DFC" w:rsidRDefault="00631DFC" w:rsidP="00631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1672"/>
        <w:gridCol w:w="1508"/>
        <w:gridCol w:w="1570"/>
        <w:gridCol w:w="1572"/>
        <w:gridCol w:w="1433"/>
        <w:gridCol w:w="1291"/>
        <w:gridCol w:w="1299"/>
        <w:gridCol w:w="1291"/>
        <w:gridCol w:w="1290"/>
      </w:tblGrid>
      <w:tr w:rsidR="00631DFC" w:rsidRPr="00631DFC" w:rsidTr="001213CF">
        <w:trPr>
          <w:cantSplit/>
          <w:trHeight w:val="959"/>
        </w:trPr>
        <w:tc>
          <w:tcPr>
            <w:tcW w:w="1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программы, подпрограммы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4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9810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31DFC" w:rsidRPr="00631DFC" w:rsidTr="001213CF">
        <w:trPr>
          <w:cantSplit/>
          <w:trHeight w:val="958"/>
        </w:trPr>
        <w:tc>
          <w:tcPr>
            <w:tcW w:w="1678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vAlign w:val="center"/>
          </w:tcPr>
          <w:p w:rsidR="00631DFC" w:rsidRPr="00631DFC" w:rsidRDefault="00631DFC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83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42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99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07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99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98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2020</w:t>
            </w:r>
          </w:p>
        </w:tc>
      </w:tr>
      <w:tr w:rsidR="00631DFC" w:rsidRPr="00631DFC" w:rsidTr="001213CF">
        <w:trPr>
          <w:cantSplit/>
          <w:trHeight w:val="320"/>
        </w:trPr>
        <w:tc>
          <w:tcPr>
            <w:tcW w:w="16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1DFC" w:rsidRPr="00631DFC" w:rsidRDefault="00631DFC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DFC" w:rsidRPr="00631DFC" w:rsidRDefault="00631DFC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7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8" w:type="dxa"/>
            <w:vAlign w:val="center"/>
          </w:tcPr>
          <w:p w:rsidR="00631DFC" w:rsidRPr="00631DFC" w:rsidRDefault="00631DFC" w:rsidP="00631D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10</w:t>
            </w:r>
          </w:p>
        </w:tc>
      </w:tr>
      <w:tr w:rsidR="001213CF" w:rsidRPr="00631DFC" w:rsidTr="001213CF">
        <w:trPr>
          <w:cantSplit/>
          <w:trHeight w:val="320"/>
        </w:trPr>
        <w:tc>
          <w:tcPr>
            <w:tcW w:w="1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  </w:t>
            </w:r>
          </w:p>
        </w:tc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lastRenderedPageBreak/>
              <w:t xml:space="preserve">всего            </w:t>
            </w:r>
          </w:p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2233,3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1457,7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36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8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7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местный бюджет</w:t>
            </w:r>
          </w:p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 том  числе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33261D" w:rsidP="00631DFC">
            <w:pPr>
              <w:ind w:left="-35" w:right="-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583" w:type="dxa"/>
            <w:vAlign w:val="center"/>
          </w:tcPr>
          <w:p w:rsidR="001213CF" w:rsidRPr="00631DFC" w:rsidRDefault="0033261D" w:rsidP="00631DFC">
            <w:pPr>
              <w:ind w:left="-35" w:right="-3" w:hanging="28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1964,6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ind w:left="-35" w:right="-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1189,0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7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бюджет Мясниковского района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1299,5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7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бюджет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сельского поселения  </w:t>
            </w:r>
          </w:p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33261D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583" w:type="dxa"/>
            <w:vAlign w:val="center"/>
          </w:tcPr>
          <w:p w:rsidR="001213CF" w:rsidRPr="00631DFC" w:rsidRDefault="0033261D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665,1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1148,4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568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571"/>
        </w:trPr>
        <w:tc>
          <w:tcPr>
            <w:tcW w:w="1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 </w:t>
            </w:r>
          </w:p>
        </w:tc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улично-дорожной сети поселения»</w:t>
            </w: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1979,5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2033,3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941,1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69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73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61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местный бюджет</w:t>
            </w:r>
          </w:p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 том  числе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61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бюджет Мясниковского района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  <w:p w:rsidR="001213CF" w:rsidRPr="00631DFC" w:rsidRDefault="001213CF" w:rsidP="00631DF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1299,5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61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бюджет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сельского поселения  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465,1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583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301"/>
        </w:trPr>
        <w:tc>
          <w:tcPr>
            <w:tcW w:w="16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6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безопасности дорожного движения на территории поселения»</w:t>
            </w: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77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443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85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местный бюджет</w:t>
            </w:r>
          </w:p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 том  числе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285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бюджет </w:t>
            </w: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Калининского сельского поселения  </w:t>
            </w: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Мясниковского района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2" w:type="dxa"/>
            <w:vAlign w:val="center"/>
          </w:tcPr>
          <w:p w:rsidR="001213CF" w:rsidRPr="00631DFC" w:rsidRDefault="0033261D" w:rsidP="00631DFC">
            <w:pPr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13CF" w:rsidRPr="00631DFC" w:rsidTr="001213CF">
        <w:trPr>
          <w:cantSplit/>
          <w:trHeight w:val="355"/>
        </w:trPr>
        <w:tc>
          <w:tcPr>
            <w:tcW w:w="1678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vAlign w:val="center"/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3CF" w:rsidRPr="00631DFC" w:rsidRDefault="001213CF" w:rsidP="0063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vAlign w:val="center"/>
          </w:tcPr>
          <w:p w:rsidR="001213CF" w:rsidRPr="00631DFC" w:rsidRDefault="001213CF" w:rsidP="0063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vAlign w:val="center"/>
          </w:tcPr>
          <w:p w:rsidR="001213CF" w:rsidRPr="00631DFC" w:rsidRDefault="001213CF" w:rsidP="00F4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52A3" w:rsidRDefault="003752A3" w:rsidP="00631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</w:pPr>
    </w:p>
    <w:sectPr w:rsidR="003752A3" w:rsidSect="00241E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16C"/>
    <w:multiLevelType w:val="hybridMultilevel"/>
    <w:tmpl w:val="03926772"/>
    <w:lvl w:ilvl="0" w:tplc="041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4"/>
        </w:tabs>
        <w:ind w:left="8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4"/>
        </w:tabs>
        <w:ind w:left="8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4"/>
        </w:tabs>
        <w:ind w:left="9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4"/>
        </w:tabs>
        <w:ind w:left="10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4"/>
        </w:tabs>
        <w:ind w:left="11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4"/>
        </w:tabs>
        <w:ind w:left="11764" w:hanging="360"/>
      </w:pPr>
      <w:rPr>
        <w:rFonts w:ascii="Wingdings" w:hAnsi="Wingdings" w:hint="default"/>
      </w:rPr>
    </w:lvl>
  </w:abstractNum>
  <w:abstractNum w:abstractNumId="1">
    <w:nsid w:val="10E3075E"/>
    <w:multiLevelType w:val="hybridMultilevel"/>
    <w:tmpl w:val="C5109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29"/>
    <w:rsid w:val="001213CF"/>
    <w:rsid w:val="00241E29"/>
    <w:rsid w:val="0033261D"/>
    <w:rsid w:val="003752A3"/>
    <w:rsid w:val="00385574"/>
    <w:rsid w:val="00631DFC"/>
    <w:rsid w:val="00AD4406"/>
    <w:rsid w:val="00B105AD"/>
    <w:rsid w:val="00B44DE8"/>
    <w:rsid w:val="00C86CF9"/>
    <w:rsid w:val="00C93BBB"/>
    <w:rsid w:val="00DD5068"/>
    <w:rsid w:val="00E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41E29"/>
  </w:style>
  <w:style w:type="paragraph" w:customStyle="1" w:styleId="ConsPlusNormal">
    <w:name w:val="ConsPlusNormal"/>
    <w:rsid w:val="00241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1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4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41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41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241E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41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241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rsid w:val="0024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4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41E29"/>
    <w:rPr>
      <w:rFonts w:cs="Times New Roman"/>
      <w:color w:val="0000FF"/>
      <w:u w:val="single"/>
    </w:rPr>
  </w:style>
  <w:style w:type="paragraph" w:customStyle="1" w:styleId="Style16">
    <w:name w:val="Style16"/>
    <w:basedOn w:val="a"/>
    <w:rsid w:val="00241E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E29"/>
  </w:style>
  <w:style w:type="paragraph" w:customStyle="1" w:styleId="ConsPlusTitle">
    <w:name w:val="ConsPlusTitle"/>
    <w:uiPriority w:val="99"/>
    <w:rsid w:val="00241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41E29"/>
  </w:style>
  <w:style w:type="paragraph" w:customStyle="1" w:styleId="ConsPlusNormal">
    <w:name w:val="ConsPlusNormal"/>
    <w:rsid w:val="00241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1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4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41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41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241E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41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241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rsid w:val="0024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4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41E29"/>
    <w:rPr>
      <w:rFonts w:cs="Times New Roman"/>
      <w:color w:val="0000FF"/>
      <w:u w:val="single"/>
    </w:rPr>
  </w:style>
  <w:style w:type="paragraph" w:customStyle="1" w:styleId="Style16">
    <w:name w:val="Style16"/>
    <w:basedOn w:val="a"/>
    <w:rsid w:val="00241E2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E29"/>
  </w:style>
  <w:style w:type="paragraph" w:customStyle="1" w:styleId="ConsPlusTitle">
    <w:name w:val="ConsPlusTitle"/>
    <w:uiPriority w:val="99"/>
    <w:rsid w:val="00241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.GKCH5\Users\GAVRIL~1\AppData\Local\Temp\21548918-95588299-9558878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76;&#1084;&#1080;&#1085;&#1080;&#1089;&#1090;&#1088;&#1072;&#1090;&#1086;&#1088;.GKCH5\Users\GAVRIL~1\AppData\Local\Temp\21548918-95588299-9558878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10075</Words>
  <Characters>57430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2017-02-06T13:46:00Z</dcterms:created>
  <dcterms:modified xsi:type="dcterms:W3CDTF">2017-02-06T13:46:00Z</dcterms:modified>
</cp:coreProperties>
</file>